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2277B" w14:textId="1AC88F88" w:rsidR="000773B1" w:rsidRPr="000773B1" w:rsidRDefault="000773B1" w:rsidP="000773B1">
      <w:pPr>
        <w:pStyle w:val="Header-3gppTdoc"/>
        <w:spacing w:after="0"/>
        <w:rPr>
          <w:noProof/>
          <w:lang w:val="en-GB"/>
        </w:rPr>
      </w:pPr>
      <w:r w:rsidRPr="000773B1">
        <w:rPr>
          <w:noProof/>
          <w:lang w:val="en-GB"/>
        </w:rPr>
        <w:t>3GPP TSG-RAN WG4 Meeting #94-e</w:t>
      </w:r>
      <w:r w:rsidRPr="000773B1">
        <w:rPr>
          <w:noProof/>
          <w:lang w:val="en-GB"/>
        </w:rPr>
        <w:tab/>
      </w:r>
      <w:r>
        <w:rPr>
          <w:noProof/>
          <w:lang w:val="en-GB"/>
        </w:rPr>
        <w:tab/>
      </w:r>
      <w:r w:rsidRPr="00B30C46">
        <w:rPr>
          <w:noProof/>
          <w:lang w:val="en-GB"/>
        </w:rPr>
        <w:t>R4-20</w:t>
      </w:r>
      <w:r w:rsidR="00B30C46" w:rsidRPr="00B30C46">
        <w:rPr>
          <w:noProof/>
          <w:lang w:val="en-GB"/>
        </w:rPr>
        <w:t>00374</w:t>
      </w:r>
    </w:p>
    <w:p w14:paraId="30C70276" w14:textId="77777777" w:rsidR="000773B1" w:rsidRDefault="000773B1" w:rsidP="000773B1">
      <w:pPr>
        <w:pStyle w:val="Header-3gppTdoc"/>
        <w:rPr>
          <w:noProof/>
          <w:lang w:val="en-GB"/>
        </w:rPr>
      </w:pPr>
      <w:r w:rsidRPr="000773B1">
        <w:rPr>
          <w:noProof/>
          <w:lang w:val="en-GB"/>
        </w:rPr>
        <w:t>Electronic Meeting, 24 Feb. – 6 Mar., 2020</w:t>
      </w:r>
    </w:p>
    <w:p w14:paraId="7FC76032" w14:textId="224BA60D" w:rsidR="00F25FDF" w:rsidRPr="00F25FDF" w:rsidRDefault="00F25FDF" w:rsidP="000773B1">
      <w:pPr>
        <w:pStyle w:val="Header-3gppTdoc"/>
      </w:pPr>
      <w:r w:rsidRPr="00F25FDF">
        <w:t xml:space="preserve">Agenda item:      </w:t>
      </w:r>
      <w:r w:rsidR="007E108E">
        <w:t xml:space="preserve"> </w:t>
      </w:r>
      <w:r w:rsidR="004256B2">
        <w:t>8.</w:t>
      </w:r>
      <w:r w:rsidR="00E738B1">
        <w:t>1</w:t>
      </w:r>
      <w:r w:rsidR="00207FCC">
        <w:t>8</w:t>
      </w:r>
      <w:r w:rsidR="00E738B1">
        <w:t>.1.</w:t>
      </w:r>
      <w:r w:rsidR="00207FCC">
        <w:t>2</w:t>
      </w:r>
    </w:p>
    <w:p w14:paraId="1EC25DFE" w14:textId="77777777" w:rsidR="00F25FDF" w:rsidRPr="00F25FDF" w:rsidRDefault="00F25FDF" w:rsidP="006B27A4">
      <w:pPr>
        <w:pStyle w:val="Header-3gppTdoc"/>
      </w:pPr>
      <w:r w:rsidRPr="00F25FDF">
        <w:t>Source:                Intel Corporation</w:t>
      </w:r>
    </w:p>
    <w:p w14:paraId="68714884" w14:textId="080F8B06" w:rsidR="004256B2" w:rsidRDefault="00037226" w:rsidP="004256B2">
      <w:pPr>
        <w:pStyle w:val="Header-3gppTdoc"/>
        <w:ind w:left="1980" w:hanging="1980"/>
      </w:pPr>
      <w:r>
        <w:t>Title:</w:t>
      </w:r>
      <w:r w:rsidR="00F3314D">
        <w:t xml:space="preserve">                     </w:t>
      </w:r>
      <w:r w:rsidR="00207FCC" w:rsidRPr="00207FCC">
        <w:t>Simulation results for PMI test cases with 16,32 ports</w:t>
      </w:r>
    </w:p>
    <w:p w14:paraId="12E3B8F8" w14:textId="7580C778" w:rsidR="00F25FDF" w:rsidRPr="00F25FDF" w:rsidRDefault="00F25FDF" w:rsidP="004256B2">
      <w:pPr>
        <w:pStyle w:val="Header-3gppTdoc"/>
        <w:ind w:left="1980" w:hanging="1980"/>
      </w:pPr>
      <w:r w:rsidRPr="00F25FDF">
        <w:t>Document for:     Discussion</w:t>
      </w:r>
    </w:p>
    <w:p w14:paraId="453BC634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212F9701" w14:textId="438F9BBA" w:rsidR="00B13CAE" w:rsidRDefault="00F25FDF" w:rsidP="006B27A4">
      <w:r w:rsidRPr="006B27A4">
        <w:t>In RAN4#</w:t>
      </w:r>
      <w:r w:rsidR="00EA2420" w:rsidRPr="006B27A4">
        <w:t>9</w:t>
      </w:r>
      <w:r w:rsidR="000773B1">
        <w:t>3</w:t>
      </w:r>
      <w:r w:rsidR="00797245">
        <w:t xml:space="preserve"> PMI test cases for Single Panel Type I codebook were discussed and way forward [1] was approved. The agreements for PMI tests with single panel Type I codebook are captured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245" w14:paraId="4672D9C5" w14:textId="77777777" w:rsidTr="00797245">
        <w:tc>
          <w:tcPr>
            <w:tcW w:w="9350" w:type="dxa"/>
          </w:tcPr>
          <w:p w14:paraId="30F1C505" w14:textId="77777777" w:rsidR="00797245" w:rsidRPr="00797245" w:rsidRDefault="00797245" w:rsidP="00797245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797245">
              <w:t>Wideband PMI requirements</w:t>
            </w:r>
          </w:p>
          <w:p w14:paraId="462016E0" w14:textId="77777777" w:rsidR="00797245" w:rsidRPr="00797245" w:rsidRDefault="00797245" w:rsidP="00797245">
            <w:pPr>
              <w:numPr>
                <w:ilvl w:val="1"/>
                <w:numId w:val="24"/>
              </w:numPr>
            </w:pPr>
            <w:r w:rsidRPr="00797245">
              <w:t>32Tx ports</w:t>
            </w:r>
          </w:p>
          <w:p w14:paraId="581A62D8" w14:textId="77777777" w:rsidR="00797245" w:rsidRPr="00797245" w:rsidRDefault="00797245" w:rsidP="00797245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797245">
              <w:t xml:space="preserve">subband PMI requirements for 16 Tx ports </w:t>
            </w:r>
          </w:p>
          <w:p w14:paraId="074EDFA6" w14:textId="77777777" w:rsidR="00797245" w:rsidRPr="00797245" w:rsidRDefault="00797245" w:rsidP="00797245">
            <w:pPr>
              <w:numPr>
                <w:ilvl w:val="1"/>
                <w:numId w:val="24"/>
              </w:numPr>
            </w:pPr>
            <w:r w:rsidRPr="00797245">
              <w:t>If subband PMI test for 16 Tx ports will be introduced, only 32 Tx ports will be covered in wideband PMI test.</w:t>
            </w:r>
          </w:p>
          <w:p w14:paraId="77E69B59" w14:textId="77777777" w:rsidR="00797245" w:rsidRPr="00797245" w:rsidRDefault="00797245" w:rsidP="00797245">
            <w:pPr>
              <w:numPr>
                <w:ilvl w:val="1"/>
                <w:numId w:val="24"/>
              </w:numPr>
            </w:pPr>
            <w:r w:rsidRPr="00797245">
              <w:t>If subband PMI test for 16 Tx ports will not be introduced, both 16 and 32 Tx ports will be covered in wideband PMI test.</w:t>
            </w:r>
          </w:p>
          <w:p w14:paraId="64E2A070" w14:textId="77777777" w:rsidR="00797245" w:rsidRPr="00797245" w:rsidRDefault="00797245" w:rsidP="00797245">
            <w:pPr>
              <w:numPr>
                <w:ilvl w:val="1"/>
                <w:numId w:val="24"/>
              </w:numPr>
            </w:pPr>
            <w:r w:rsidRPr="00797245">
              <w:t>Decide whether to define subband requirements based on the simulation results.</w:t>
            </w:r>
          </w:p>
          <w:p w14:paraId="6531D34F" w14:textId="77777777" w:rsidR="00797245" w:rsidRPr="00797245" w:rsidRDefault="00797245" w:rsidP="00797245">
            <w:pPr>
              <w:numPr>
                <w:ilvl w:val="1"/>
                <w:numId w:val="24"/>
              </w:numPr>
            </w:pPr>
            <w:r w:rsidRPr="00797245">
              <w:t>Companies are encouraged to run simulation for the following 4 cases. Consider the following priority if no time to run simulation for all 4 cases.</w:t>
            </w:r>
          </w:p>
          <w:p w14:paraId="438469BF" w14:textId="77777777" w:rsidR="00797245" w:rsidRPr="00797245" w:rsidRDefault="00797245" w:rsidP="00797245">
            <w:pPr>
              <w:numPr>
                <w:ilvl w:val="2"/>
                <w:numId w:val="24"/>
              </w:numPr>
            </w:pPr>
            <w:r w:rsidRPr="00797245">
              <w:t>Priority for simulation: Follow subband PMI, Random subband PMI &gt; Follow wideband PMI, Random wideband PMI</w:t>
            </w:r>
          </w:p>
          <w:p w14:paraId="49D99B61" w14:textId="77777777" w:rsidR="00797245" w:rsidRPr="00797245" w:rsidRDefault="00797245" w:rsidP="00797245">
            <w:pPr>
              <w:numPr>
                <w:ilvl w:val="2"/>
                <w:numId w:val="24"/>
              </w:numPr>
            </w:pPr>
            <w:r w:rsidRPr="00797245">
              <w:t>For subband/wideband gain comparison, run all tests with channel model TDLC300-5</w:t>
            </w:r>
          </w:p>
          <w:p w14:paraId="00EAB01C" w14:textId="77777777" w:rsidR="00797245" w:rsidRDefault="00797245" w:rsidP="006B27A4"/>
        </w:tc>
      </w:tr>
    </w:tbl>
    <w:p w14:paraId="7755FFCA" w14:textId="174D4B60" w:rsidR="00797245" w:rsidRDefault="00797245" w:rsidP="006B27A4"/>
    <w:p w14:paraId="0B516DB5" w14:textId="7327184F" w:rsidR="00797245" w:rsidRDefault="00797245" w:rsidP="006B27A4">
      <w:r>
        <w:t>In this contribution we present simulation results and our views on subband PMI test cases.</w:t>
      </w:r>
    </w:p>
    <w:p w14:paraId="39C0BA3C" w14:textId="77777777" w:rsidR="00F25FDF" w:rsidRDefault="00F25FDF" w:rsidP="006B27A4"/>
    <w:p w14:paraId="31B56478" w14:textId="77777777"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Discussion</w:t>
      </w:r>
    </w:p>
    <w:p w14:paraId="16DC0CD0" w14:textId="079FDFB7" w:rsidR="00F25FDF" w:rsidRDefault="00390416" w:rsidP="00390416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 xml:space="preserve">32 TX Ports </w:t>
      </w:r>
    </w:p>
    <w:p w14:paraId="1B561971" w14:textId="03B841B7" w:rsidR="00480425" w:rsidRPr="00480425" w:rsidRDefault="00480425" w:rsidP="00480425">
      <w:pPr>
        <w:rPr>
          <w:b/>
          <w:bCs/>
          <w:sz w:val="24"/>
          <w:szCs w:val="24"/>
          <w:u w:val="single"/>
          <w:lang w:val="en-GB" w:eastAsia="en-GB"/>
        </w:rPr>
      </w:pPr>
      <w:r w:rsidRPr="00480425">
        <w:rPr>
          <w:b/>
          <w:bCs/>
          <w:sz w:val="24"/>
          <w:szCs w:val="24"/>
          <w:u w:val="single"/>
          <w:lang w:val="en-GB" w:eastAsia="en-GB"/>
        </w:rPr>
        <w:t>FDD Mode</w:t>
      </w:r>
    </w:p>
    <w:p w14:paraId="5D075734" w14:textId="77777777" w:rsidR="00480425" w:rsidRDefault="00480425" w:rsidP="00480425">
      <w:pPr>
        <w:rPr>
          <w:lang w:val="en-GB" w:eastAsia="en-GB"/>
        </w:rPr>
      </w:pPr>
      <w:r>
        <w:rPr>
          <w:lang w:val="en-GB" w:eastAsia="en-GB"/>
        </w:rPr>
        <w:t>For the simulation parameters agreed in [2] we present results with 32 TX ports for FDD mode. The results are for wideband PMI with 2 MIMO layers.</w:t>
      </w:r>
    </w:p>
    <w:p w14:paraId="4EBDA8F3" w14:textId="6788055A" w:rsidR="00480425" w:rsidRDefault="00480425" w:rsidP="00480425">
      <w:pPr>
        <w:rPr>
          <w:lang w:val="en-GB" w:eastAsia="en-GB"/>
        </w:rPr>
      </w:pPr>
    </w:p>
    <w:p w14:paraId="1EB2AEB1" w14:textId="77777777" w:rsidR="00DD54BA" w:rsidRDefault="00DD54BA" w:rsidP="00DD54BA">
      <w:pPr>
        <w:keepNext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1A3F7DB3" wp14:editId="2A6CD4D6">
            <wp:extent cx="4584700" cy="275590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8AE3F" w14:textId="3ED00834" w:rsidR="00480425" w:rsidRDefault="00DD54BA" w:rsidP="00DD54BA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D72986">
          <w:rPr>
            <w:noProof/>
          </w:rPr>
          <w:t>1</w:t>
        </w:r>
      </w:fldSimple>
      <w:r>
        <w:t>: FDD- 32x2; Wideband PMI; 2 layers</w:t>
      </w:r>
    </w:p>
    <w:p w14:paraId="3AA8E7AC" w14:textId="5A82DFE3" w:rsidR="00480425" w:rsidRPr="00480425" w:rsidRDefault="00480425" w:rsidP="00480425">
      <w:pPr>
        <w:rPr>
          <w:b/>
          <w:bCs/>
          <w:sz w:val="24"/>
          <w:szCs w:val="24"/>
          <w:u w:val="single"/>
          <w:lang w:val="en-GB" w:eastAsia="en-GB"/>
        </w:rPr>
      </w:pPr>
      <w:r w:rsidRPr="00480425">
        <w:rPr>
          <w:b/>
          <w:bCs/>
          <w:sz w:val="24"/>
          <w:szCs w:val="24"/>
          <w:u w:val="single"/>
          <w:lang w:val="en-GB" w:eastAsia="en-GB"/>
        </w:rPr>
        <w:t>TDD Mode</w:t>
      </w:r>
    </w:p>
    <w:p w14:paraId="229DD51D" w14:textId="4E7D7B91" w:rsidR="00480425" w:rsidRDefault="00390416" w:rsidP="00480425">
      <w:pPr>
        <w:rPr>
          <w:lang w:val="en-GB" w:eastAsia="en-GB"/>
        </w:rPr>
      </w:pPr>
      <w:r>
        <w:rPr>
          <w:lang w:val="en-GB" w:eastAsia="en-GB"/>
        </w:rPr>
        <w:t>For the simulation parameters agreed in [2] we present results with 32 TX ports for TDD mode</w:t>
      </w:r>
      <w:r w:rsidR="00480425">
        <w:rPr>
          <w:lang w:val="en-GB" w:eastAsia="en-GB"/>
        </w:rPr>
        <w:t>. The results are for wideband PMI with 2 MIMO layers.</w:t>
      </w:r>
    </w:p>
    <w:p w14:paraId="57C921E6" w14:textId="77777777" w:rsidR="00D72986" w:rsidRDefault="00D72986" w:rsidP="00D72986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256878BA" wp14:editId="09EBB167">
            <wp:extent cx="4608830" cy="2646045"/>
            <wp:effectExtent l="0" t="0" r="127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8830" cy="2646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07E2D4" w14:textId="2F553C58" w:rsidR="00480425" w:rsidRDefault="00D72986" w:rsidP="00D72986">
      <w:pPr>
        <w:pStyle w:val="Caption"/>
        <w:jc w:val="center"/>
        <w:rPr>
          <w:lang w:val="en-GB" w:eastAsia="en-GB"/>
        </w:rPr>
      </w:pPr>
      <w:r>
        <w:t xml:space="preserve">Figure </w:t>
      </w:r>
      <w:r w:rsidR="00A94790">
        <w:fldChar w:fldCharType="begin"/>
      </w:r>
      <w:r w:rsidR="00A94790">
        <w:instrText xml:space="preserve"> SEQ Figure \* ARABIC </w:instrText>
      </w:r>
      <w:r w:rsidR="00A94790">
        <w:fldChar w:fldCharType="separate"/>
      </w:r>
      <w:r>
        <w:rPr>
          <w:noProof/>
        </w:rPr>
        <w:t>2</w:t>
      </w:r>
      <w:r w:rsidR="00A94790">
        <w:rPr>
          <w:noProof/>
        </w:rPr>
        <w:fldChar w:fldCharType="end"/>
      </w:r>
      <w:r>
        <w:t>:</w:t>
      </w:r>
      <w:r w:rsidRPr="00D72986">
        <w:rPr>
          <w:b w:val="0"/>
        </w:rPr>
        <w:t xml:space="preserve"> </w:t>
      </w:r>
      <w:r>
        <w:rPr>
          <w:b w:val="0"/>
        </w:rPr>
        <w:t>T</w:t>
      </w:r>
      <w:r w:rsidRPr="00D72986">
        <w:t>DD- 32x2; Wideband PMI; 2 layers</w:t>
      </w:r>
    </w:p>
    <w:p w14:paraId="3EFA52BA" w14:textId="77777777" w:rsidR="00480425" w:rsidRDefault="00480425" w:rsidP="00480425">
      <w:pPr>
        <w:rPr>
          <w:lang w:val="en-GB" w:eastAsia="en-GB"/>
        </w:rPr>
      </w:pPr>
    </w:p>
    <w:p w14:paraId="43FFFC43" w14:textId="77777777" w:rsidR="00480425" w:rsidRDefault="00480425" w:rsidP="00480425">
      <w:pPr>
        <w:rPr>
          <w:lang w:val="en-GB" w:eastAsia="en-GB"/>
        </w:rPr>
      </w:pPr>
    </w:p>
    <w:p w14:paraId="6FA9A9BF" w14:textId="06BA02D8" w:rsidR="00D72986" w:rsidRDefault="00D72986" w:rsidP="00D72986">
      <w:pPr>
        <w:pStyle w:val="Caption"/>
        <w:keepNext/>
        <w:jc w:val="center"/>
      </w:pPr>
      <w:r>
        <w:t xml:space="preserve">Table </w:t>
      </w:r>
      <w:r w:rsidR="00A94790">
        <w:fldChar w:fldCharType="begin"/>
      </w:r>
      <w:r w:rsidR="00A94790">
        <w:instrText xml:space="preserve"> SEQ Table \* ARABIC </w:instrText>
      </w:r>
      <w:r w:rsidR="00A94790">
        <w:fldChar w:fldCharType="separate"/>
      </w:r>
      <w:r>
        <w:rPr>
          <w:noProof/>
        </w:rPr>
        <w:t>1</w:t>
      </w:r>
      <w:r w:rsidR="00A94790">
        <w:rPr>
          <w:noProof/>
        </w:rPr>
        <w:fldChar w:fldCharType="end"/>
      </w:r>
      <w:r>
        <w:t>: Summary of results for 32TX ports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15"/>
        <w:gridCol w:w="1620"/>
        <w:gridCol w:w="2075"/>
        <w:gridCol w:w="2075"/>
      </w:tblGrid>
      <w:tr w:rsidR="00480425" w:rsidRPr="00EC3946" w14:paraId="24038418" w14:textId="0D467AFD" w:rsidTr="00167252">
        <w:trPr>
          <w:trHeight w:val="190"/>
          <w:jc w:val="center"/>
        </w:trPr>
        <w:tc>
          <w:tcPr>
            <w:tcW w:w="2515" w:type="dxa"/>
            <w:vAlign w:val="center"/>
          </w:tcPr>
          <w:p w14:paraId="13C7B263" w14:textId="77777777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Wideband PMI</w:t>
            </w:r>
          </w:p>
        </w:tc>
        <w:tc>
          <w:tcPr>
            <w:tcW w:w="1620" w:type="dxa"/>
            <w:vAlign w:val="center"/>
          </w:tcPr>
          <w:p w14:paraId="6F132DAB" w14:textId="180E1794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Duplex Mode</w:t>
            </w:r>
          </w:p>
        </w:tc>
        <w:tc>
          <w:tcPr>
            <w:tcW w:w="2075" w:type="dxa"/>
            <w:vAlign w:val="center"/>
          </w:tcPr>
          <w:p w14:paraId="4DCBF1AE" w14:textId="77777777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Gain @ 90%Max TP</w:t>
            </w:r>
          </w:p>
        </w:tc>
        <w:tc>
          <w:tcPr>
            <w:tcW w:w="2075" w:type="dxa"/>
          </w:tcPr>
          <w:p w14:paraId="63E90111" w14:textId="13A17781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SNR @ 90% Max TP</w:t>
            </w:r>
          </w:p>
        </w:tc>
      </w:tr>
      <w:tr w:rsidR="00480425" w14:paraId="34F21837" w14:textId="7CDADC1D" w:rsidTr="00167252">
        <w:trPr>
          <w:trHeight w:val="503"/>
          <w:jc w:val="center"/>
        </w:trPr>
        <w:tc>
          <w:tcPr>
            <w:tcW w:w="2515" w:type="dxa"/>
            <w:vMerge w:val="restart"/>
            <w:vAlign w:val="center"/>
          </w:tcPr>
          <w:p w14:paraId="35EF4511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TDLA-30-10Hz; XPL-High</w:t>
            </w:r>
          </w:p>
          <w:p w14:paraId="3739676E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lastRenderedPageBreak/>
              <w:t>MCS:20</w:t>
            </w:r>
          </w:p>
          <w:p w14:paraId="3041C107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620" w:type="dxa"/>
            <w:vAlign w:val="center"/>
          </w:tcPr>
          <w:p w14:paraId="6596E9C1" w14:textId="78CD5A6B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lastRenderedPageBreak/>
              <w:t>FDD</w:t>
            </w:r>
          </w:p>
        </w:tc>
        <w:tc>
          <w:tcPr>
            <w:tcW w:w="2075" w:type="dxa"/>
            <w:vAlign w:val="center"/>
          </w:tcPr>
          <w:p w14:paraId="69928480" w14:textId="234292D0" w:rsidR="00480425" w:rsidRDefault="001B69F4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9</w:t>
            </w:r>
          </w:p>
        </w:tc>
        <w:tc>
          <w:tcPr>
            <w:tcW w:w="2075" w:type="dxa"/>
          </w:tcPr>
          <w:p w14:paraId="733B36CC" w14:textId="3A211C2C" w:rsidR="00480425" w:rsidRDefault="001B69F4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8.5 dB</w:t>
            </w:r>
          </w:p>
        </w:tc>
      </w:tr>
      <w:tr w:rsidR="00480425" w14:paraId="368347FE" w14:textId="41B23076" w:rsidTr="00167252">
        <w:trPr>
          <w:trHeight w:val="602"/>
          <w:jc w:val="center"/>
        </w:trPr>
        <w:tc>
          <w:tcPr>
            <w:tcW w:w="2515" w:type="dxa"/>
            <w:vMerge/>
            <w:vAlign w:val="center"/>
          </w:tcPr>
          <w:p w14:paraId="4697B72B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</w:p>
        </w:tc>
        <w:tc>
          <w:tcPr>
            <w:tcW w:w="1620" w:type="dxa"/>
            <w:vAlign w:val="center"/>
          </w:tcPr>
          <w:p w14:paraId="455AC782" w14:textId="07000AF5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TDD</w:t>
            </w:r>
          </w:p>
        </w:tc>
        <w:tc>
          <w:tcPr>
            <w:tcW w:w="2075" w:type="dxa"/>
            <w:vAlign w:val="center"/>
          </w:tcPr>
          <w:p w14:paraId="46A4ACBA" w14:textId="4D5B14CC" w:rsidR="00480425" w:rsidRDefault="00DD54BA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13</w:t>
            </w:r>
          </w:p>
        </w:tc>
        <w:tc>
          <w:tcPr>
            <w:tcW w:w="2075" w:type="dxa"/>
          </w:tcPr>
          <w:p w14:paraId="6BF9FE8C" w14:textId="449B331A" w:rsidR="00480425" w:rsidRDefault="00DD54BA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6.8 dB</w:t>
            </w:r>
          </w:p>
        </w:tc>
      </w:tr>
    </w:tbl>
    <w:p w14:paraId="398EF7E9" w14:textId="61A56EF0" w:rsidR="00390416" w:rsidRDefault="00390416" w:rsidP="00390416">
      <w:pPr>
        <w:rPr>
          <w:lang w:val="en-GB" w:eastAsia="en-GB"/>
        </w:rPr>
      </w:pPr>
    </w:p>
    <w:p w14:paraId="12E44A67" w14:textId="77777777" w:rsidR="00F25FDF" w:rsidRDefault="00F25FDF" w:rsidP="006B27A4"/>
    <w:p w14:paraId="33F66628" w14:textId="628A98EB" w:rsidR="00390416" w:rsidRPr="00390416" w:rsidRDefault="00390416" w:rsidP="00390416">
      <w:pPr>
        <w:pStyle w:val="Heading2"/>
        <w:numPr>
          <w:ilvl w:val="1"/>
          <w:numId w:val="25"/>
        </w:numPr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>Subband PMI Tests</w:t>
      </w:r>
    </w:p>
    <w:p w14:paraId="33EB0F16" w14:textId="5D5C1DEE" w:rsidR="00480425" w:rsidRDefault="00480425" w:rsidP="006B27A4">
      <w:pPr>
        <w:rPr>
          <w:lang w:val="en-GB" w:eastAsia="en-GB"/>
        </w:rPr>
      </w:pPr>
      <w:r>
        <w:rPr>
          <w:lang w:eastAsia="en-GB"/>
        </w:rPr>
        <w:t xml:space="preserve">For the </w:t>
      </w:r>
      <w:r>
        <w:rPr>
          <w:lang w:val="en-GB" w:eastAsia="en-GB"/>
        </w:rPr>
        <w:t>simulation parameters agreed in [2] we present results for 16TX ports with subband PMI. We also provide results with WB PMI as agreed in [1] in order to compare performance between SBPMI and WB PMI with single panel type I codebook.</w:t>
      </w:r>
    </w:p>
    <w:p w14:paraId="5FDD606B" w14:textId="5CE2D62C" w:rsidR="00DD54BA" w:rsidRDefault="00125245" w:rsidP="00DD54BA">
      <w:pPr>
        <w:keepNext/>
        <w:jc w:val="center"/>
      </w:pPr>
      <w:r>
        <w:rPr>
          <w:noProof/>
        </w:rPr>
        <w:drawing>
          <wp:inline distT="0" distB="0" distL="0" distR="0" wp14:anchorId="4107FCEB" wp14:editId="3A548456">
            <wp:extent cx="6343900" cy="37185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96" cy="37312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0705CB" w14:textId="6AD06BE6" w:rsidR="00F25FDF" w:rsidRDefault="00DD54BA" w:rsidP="00DD54BA">
      <w:pPr>
        <w:pStyle w:val="Caption"/>
        <w:jc w:val="center"/>
        <w:rPr>
          <w:lang w:val="en-GB" w:eastAsia="en-GB"/>
        </w:rPr>
      </w:pPr>
      <w:r>
        <w:t xml:space="preserve">Figure </w:t>
      </w:r>
      <w:fldSimple w:instr=" SEQ Figure \* ARABIC ">
        <w:r w:rsidR="00D72986">
          <w:rPr>
            <w:noProof/>
          </w:rPr>
          <w:t>3</w:t>
        </w:r>
      </w:fldSimple>
      <w:r>
        <w:t>: 16x2 SB PMI vs WB PMI</w:t>
      </w:r>
    </w:p>
    <w:p w14:paraId="6D7C0C92" w14:textId="4AFB3F7D" w:rsidR="00480425" w:rsidRDefault="00480425" w:rsidP="006B27A4">
      <w:pPr>
        <w:rPr>
          <w:lang w:val="en-GB" w:eastAsia="en-GB"/>
        </w:rPr>
      </w:pPr>
    </w:p>
    <w:p w14:paraId="23BF8164" w14:textId="04D3B126" w:rsidR="00480425" w:rsidRDefault="00480425" w:rsidP="006B27A4">
      <w:pPr>
        <w:rPr>
          <w:lang w:val="en-GB" w:eastAsia="en-GB"/>
        </w:rPr>
      </w:pPr>
    </w:p>
    <w:p w14:paraId="66F10C96" w14:textId="17837B3D" w:rsidR="00D72986" w:rsidRDefault="00D72986" w:rsidP="00D72986">
      <w:pPr>
        <w:pStyle w:val="Caption"/>
        <w:keepNext/>
        <w:jc w:val="center"/>
      </w:pPr>
      <w:r>
        <w:t xml:space="preserve">Table </w:t>
      </w:r>
      <w:r w:rsidR="00A94790">
        <w:fldChar w:fldCharType="begin"/>
      </w:r>
      <w:r w:rsidR="00A94790">
        <w:instrText xml:space="preserve"> SEQ Table \* ARABIC </w:instrText>
      </w:r>
      <w:r w:rsidR="00A94790">
        <w:fldChar w:fldCharType="separate"/>
      </w:r>
      <w:r>
        <w:rPr>
          <w:noProof/>
        </w:rPr>
        <w:t>2</w:t>
      </w:r>
      <w:r w:rsidR="00A94790">
        <w:rPr>
          <w:noProof/>
        </w:rPr>
        <w:fldChar w:fldCharType="end"/>
      </w:r>
      <w:r>
        <w:t>: Summary of results for 16 TX ports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5"/>
        <w:gridCol w:w="1350"/>
        <w:gridCol w:w="2340"/>
        <w:gridCol w:w="2070"/>
      </w:tblGrid>
      <w:tr w:rsidR="00480425" w:rsidRPr="00EC3946" w14:paraId="04393347" w14:textId="77777777" w:rsidTr="00B922B9">
        <w:trPr>
          <w:trHeight w:val="190"/>
          <w:jc w:val="center"/>
        </w:trPr>
        <w:tc>
          <w:tcPr>
            <w:tcW w:w="2695" w:type="dxa"/>
            <w:vAlign w:val="center"/>
          </w:tcPr>
          <w:p w14:paraId="4DFACD96" w14:textId="3A78C343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29ADDDF8" w14:textId="19C17A67" w:rsidR="00480425" w:rsidRPr="00EC3946" w:rsidRDefault="00B922B9" w:rsidP="002E20AE">
            <w:pPr>
              <w:jc w:val="center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PMI Mode</w:t>
            </w:r>
          </w:p>
        </w:tc>
        <w:tc>
          <w:tcPr>
            <w:tcW w:w="2340" w:type="dxa"/>
            <w:vAlign w:val="center"/>
          </w:tcPr>
          <w:p w14:paraId="0E292AD8" w14:textId="77777777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 w:rsidRPr="00EC3946">
              <w:rPr>
                <w:b/>
                <w:lang w:val="en-GB" w:eastAsia="en-GB"/>
              </w:rPr>
              <w:t>Gain @ 90%Max TP</w:t>
            </w:r>
          </w:p>
        </w:tc>
        <w:tc>
          <w:tcPr>
            <w:tcW w:w="2070" w:type="dxa"/>
          </w:tcPr>
          <w:p w14:paraId="5C5D5957" w14:textId="77777777" w:rsidR="00480425" w:rsidRPr="00EC3946" w:rsidRDefault="00480425" w:rsidP="002E20AE">
            <w:pPr>
              <w:jc w:val="center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SNR @ 90% Max TP</w:t>
            </w:r>
          </w:p>
        </w:tc>
      </w:tr>
      <w:tr w:rsidR="00480425" w14:paraId="1AD36111" w14:textId="77777777" w:rsidTr="00B922B9">
        <w:trPr>
          <w:trHeight w:val="503"/>
          <w:jc w:val="center"/>
        </w:trPr>
        <w:tc>
          <w:tcPr>
            <w:tcW w:w="2695" w:type="dxa"/>
            <w:vMerge w:val="restart"/>
            <w:vAlign w:val="center"/>
          </w:tcPr>
          <w:p w14:paraId="2170E803" w14:textId="3F147F35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TDL</w:t>
            </w:r>
            <w:r w:rsidR="00B922B9">
              <w:rPr>
                <w:lang w:val="en-GB" w:eastAsia="en-GB"/>
              </w:rPr>
              <w:t>C</w:t>
            </w:r>
            <w:r>
              <w:rPr>
                <w:lang w:val="en-GB" w:eastAsia="en-GB"/>
              </w:rPr>
              <w:t>-30</w:t>
            </w:r>
            <w:r w:rsidR="00B922B9">
              <w:rPr>
                <w:lang w:val="en-GB" w:eastAsia="en-GB"/>
              </w:rPr>
              <w:t>0</w:t>
            </w:r>
            <w:r>
              <w:rPr>
                <w:lang w:val="en-GB" w:eastAsia="en-GB"/>
              </w:rPr>
              <w:t>-10Hz; XPL-High</w:t>
            </w:r>
          </w:p>
          <w:p w14:paraId="03817DEE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MCS:20</w:t>
            </w:r>
          </w:p>
          <w:p w14:paraId="19C8C7D7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2 layers</w:t>
            </w:r>
          </w:p>
        </w:tc>
        <w:tc>
          <w:tcPr>
            <w:tcW w:w="1350" w:type="dxa"/>
            <w:vAlign w:val="center"/>
          </w:tcPr>
          <w:p w14:paraId="46A7354F" w14:textId="468512E3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Subband</w:t>
            </w:r>
          </w:p>
        </w:tc>
        <w:tc>
          <w:tcPr>
            <w:tcW w:w="2340" w:type="dxa"/>
            <w:vAlign w:val="center"/>
          </w:tcPr>
          <w:p w14:paraId="3CC79B18" w14:textId="77777777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3.5 (vs Rand SB PMI)</w:t>
            </w:r>
          </w:p>
          <w:p w14:paraId="17B4E601" w14:textId="56397A14" w:rsidR="00B922B9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4.4 (vs Rand WB PMI)</w:t>
            </w:r>
          </w:p>
        </w:tc>
        <w:tc>
          <w:tcPr>
            <w:tcW w:w="2070" w:type="dxa"/>
          </w:tcPr>
          <w:p w14:paraId="11E860B9" w14:textId="7C622291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10.4 dB</w:t>
            </w:r>
          </w:p>
        </w:tc>
      </w:tr>
      <w:tr w:rsidR="00480425" w14:paraId="59E38D91" w14:textId="77777777" w:rsidTr="00B922B9">
        <w:trPr>
          <w:trHeight w:val="602"/>
          <w:jc w:val="center"/>
        </w:trPr>
        <w:tc>
          <w:tcPr>
            <w:tcW w:w="2695" w:type="dxa"/>
            <w:vMerge/>
            <w:vAlign w:val="center"/>
          </w:tcPr>
          <w:p w14:paraId="3A3F8412" w14:textId="77777777" w:rsidR="00480425" w:rsidRDefault="00480425" w:rsidP="002E20AE">
            <w:pPr>
              <w:jc w:val="center"/>
              <w:rPr>
                <w:lang w:val="en-GB" w:eastAsia="en-GB"/>
              </w:rPr>
            </w:pPr>
          </w:p>
        </w:tc>
        <w:tc>
          <w:tcPr>
            <w:tcW w:w="1350" w:type="dxa"/>
            <w:vAlign w:val="center"/>
          </w:tcPr>
          <w:p w14:paraId="31BA778A" w14:textId="43AAA0AA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Wideband</w:t>
            </w:r>
          </w:p>
        </w:tc>
        <w:tc>
          <w:tcPr>
            <w:tcW w:w="2340" w:type="dxa"/>
            <w:vAlign w:val="center"/>
          </w:tcPr>
          <w:p w14:paraId="5988AA2B" w14:textId="1D3D5D85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4.2 (vs Rand WB PMI)</w:t>
            </w:r>
          </w:p>
        </w:tc>
        <w:tc>
          <w:tcPr>
            <w:tcW w:w="2070" w:type="dxa"/>
          </w:tcPr>
          <w:p w14:paraId="6AF526EF" w14:textId="59C47E9D" w:rsidR="00480425" w:rsidRDefault="00B922B9" w:rsidP="002E20AE">
            <w:pPr>
              <w:jc w:val="center"/>
              <w:rPr>
                <w:lang w:val="en-GB" w:eastAsia="en-GB"/>
              </w:rPr>
            </w:pPr>
            <w:r>
              <w:rPr>
                <w:lang w:val="en-GB" w:eastAsia="en-GB"/>
              </w:rPr>
              <w:t>10.6 dB</w:t>
            </w:r>
          </w:p>
        </w:tc>
      </w:tr>
    </w:tbl>
    <w:p w14:paraId="483FADC9" w14:textId="77777777" w:rsidR="00480425" w:rsidRDefault="00480425" w:rsidP="006B27A4">
      <w:pPr>
        <w:rPr>
          <w:lang w:val="en-GB" w:eastAsia="en-GB"/>
        </w:rPr>
      </w:pPr>
    </w:p>
    <w:p w14:paraId="210934C7" w14:textId="6E507330" w:rsidR="00480425" w:rsidRDefault="00B922B9" w:rsidP="006B27A4">
      <w:pPr>
        <w:rPr>
          <w:lang w:eastAsia="en-GB"/>
        </w:rPr>
      </w:pPr>
      <w:r>
        <w:rPr>
          <w:lang w:eastAsia="en-GB"/>
        </w:rPr>
        <w:t xml:space="preserve">From the results presented above we observe that results with </w:t>
      </w:r>
      <w:r w:rsidR="00863F81">
        <w:rPr>
          <w:lang w:eastAsia="en-GB"/>
        </w:rPr>
        <w:t xml:space="preserve">subband </w:t>
      </w:r>
      <w:r>
        <w:rPr>
          <w:lang w:eastAsia="en-GB"/>
        </w:rPr>
        <w:t xml:space="preserve">PMI aren’t significantly better than that with </w:t>
      </w:r>
      <w:r w:rsidR="00863F81">
        <w:rPr>
          <w:lang w:eastAsia="en-GB"/>
        </w:rPr>
        <w:t>wideband</w:t>
      </w:r>
      <w:r>
        <w:rPr>
          <w:lang w:eastAsia="en-GB"/>
        </w:rPr>
        <w:t xml:space="preserve"> PMI. For </w:t>
      </w:r>
      <w:r w:rsidR="00A94790">
        <w:rPr>
          <w:lang w:eastAsia="en-GB"/>
        </w:rPr>
        <w:t xml:space="preserve">single panel Type I codebook </w:t>
      </w:r>
      <w:r>
        <w:rPr>
          <w:lang w:eastAsia="en-GB"/>
        </w:rPr>
        <w:t xml:space="preserve">it is unlikely to see gain with </w:t>
      </w:r>
      <w:r w:rsidR="00A94790">
        <w:rPr>
          <w:lang w:eastAsia="en-GB"/>
        </w:rPr>
        <w:t xml:space="preserve">subband </w:t>
      </w:r>
      <w:r>
        <w:rPr>
          <w:lang w:eastAsia="en-GB"/>
        </w:rPr>
        <w:t xml:space="preserve">PMI compared to </w:t>
      </w:r>
      <w:r w:rsidR="00863F81">
        <w:rPr>
          <w:lang w:eastAsia="en-GB"/>
        </w:rPr>
        <w:t xml:space="preserve">wideband </w:t>
      </w:r>
      <w:r>
        <w:rPr>
          <w:lang w:eastAsia="en-GB"/>
        </w:rPr>
        <w:t>PMI. However, subband PMI is an essential feature and in Rel-15 we didn’t have any tests covering it.</w:t>
      </w:r>
      <w:r w:rsidR="00E01D9C">
        <w:rPr>
          <w:lang w:eastAsia="en-GB"/>
        </w:rPr>
        <w:t xml:space="preserve"> </w:t>
      </w:r>
    </w:p>
    <w:p w14:paraId="64FD6F04" w14:textId="3A81E24F" w:rsidR="00B922B9" w:rsidRPr="000301BD" w:rsidRDefault="00B922B9" w:rsidP="006B27A4">
      <w:pPr>
        <w:rPr>
          <w:i/>
          <w:iCs/>
          <w:lang w:eastAsia="en-GB"/>
        </w:rPr>
      </w:pPr>
      <w:r w:rsidRPr="000301BD">
        <w:rPr>
          <w:b/>
          <w:bCs/>
          <w:i/>
          <w:iCs/>
          <w:lang w:eastAsia="en-GB"/>
        </w:rPr>
        <w:lastRenderedPageBreak/>
        <w:t>Observation #1:</w:t>
      </w:r>
      <w:r w:rsidRPr="000301BD">
        <w:rPr>
          <w:i/>
          <w:iCs/>
          <w:lang w:eastAsia="en-GB"/>
        </w:rPr>
        <w:t xml:space="preserve"> Subband PMI test cases weren’t introduced in Rel-15</w:t>
      </w:r>
    </w:p>
    <w:p w14:paraId="23D3BA81" w14:textId="1E46DBE3" w:rsidR="00B922B9" w:rsidRDefault="00863F81" w:rsidP="006B27A4">
      <w:pPr>
        <w:rPr>
          <w:lang w:eastAsia="en-GB"/>
        </w:rPr>
      </w:pPr>
      <w:r>
        <w:rPr>
          <w:lang w:eastAsia="en-GB"/>
        </w:rPr>
        <w:t>In order to have sufficient test coverage for essential features we propose to introduce testcases with subband PMI with 16TX ports for single panel Type I codebook.</w:t>
      </w:r>
    </w:p>
    <w:p w14:paraId="1F6E4405" w14:textId="055BFE07" w:rsidR="00863F81" w:rsidRPr="00863F81" w:rsidRDefault="00863F81" w:rsidP="006B27A4">
      <w:pPr>
        <w:rPr>
          <w:b/>
          <w:bCs/>
          <w:lang w:eastAsia="en-GB"/>
        </w:rPr>
      </w:pPr>
      <w:r>
        <w:rPr>
          <w:b/>
          <w:bCs/>
          <w:lang w:eastAsia="en-GB"/>
        </w:rPr>
        <w:t>Proposal #1: Introduce test cases for subband PMI with 16TX ports</w:t>
      </w:r>
    </w:p>
    <w:p w14:paraId="37761550" w14:textId="77777777" w:rsidR="00F25FDF" w:rsidRPr="002F79EB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14:paraId="481C6C5D" w14:textId="7457D435" w:rsidR="00F25FDF" w:rsidRDefault="00F25FDF" w:rsidP="006B27A4">
      <w:r>
        <w:t>In this paper</w:t>
      </w:r>
      <w:r w:rsidR="0014572B">
        <w:t xml:space="preserve"> we present simulation results with wideband PMI for 32 TX </w:t>
      </w:r>
      <w:r w:rsidR="000301BD">
        <w:t>and subband PMI with 16TX ports. We have the following observations and proposals:</w:t>
      </w:r>
    </w:p>
    <w:p w14:paraId="670B1D14" w14:textId="77777777" w:rsidR="000301BD" w:rsidRPr="000301BD" w:rsidRDefault="000301BD" w:rsidP="000301BD">
      <w:pPr>
        <w:rPr>
          <w:i/>
          <w:iCs/>
          <w:lang w:eastAsia="en-GB"/>
        </w:rPr>
      </w:pPr>
      <w:r w:rsidRPr="000301BD">
        <w:rPr>
          <w:b/>
          <w:bCs/>
          <w:i/>
          <w:iCs/>
          <w:lang w:eastAsia="en-GB"/>
        </w:rPr>
        <w:t>Observation #1:</w:t>
      </w:r>
      <w:r w:rsidRPr="000301BD">
        <w:rPr>
          <w:i/>
          <w:iCs/>
          <w:lang w:eastAsia="en-GB"/>
        </w:rPr>
        <w:t xml:space="preserve"> Subband PMI test cases weren’t introduced in Rel-15</w:t>
      </w:r>
    </w:p>
    <w:p w14:paraId="0B677DC0" w14:textId="77777777" w:rsidR="000301BD" w:rsidRPr="00863F81" w:rsidRDefault="000301BD" w:rsidP="000301BD">
      <w:pPr>
        <w:rPr>
          <w:b/>
          <w:bCs/>
          <w:lang w:eastAsia="en-GB"/>
        </w:rPr>
      </w:pPr>
      <w:r>
        <w:rPr>
          <w:b/>
          <w:bCs/>
          <w:lang w:eastAsia="en-GB"/>
        </w:rPr>
        <w:t>Proposal #1: Introduce test cases for subband PMI with 16TX ports</w:t>
      </w:r>
    </w:p>
    <w:p w14:paraId="0575FE83" w14:textId="77777777" w:rsidR="00F25FDF" w:rsidRDefault="00F25FDF" w:rsidP="006B27A4"/>
    <w:p w14:paraId="1AB18916" w14:textId="77777777" w:rsidR="00F25FDF" w:rsidRDefault="00F25FDF" w:rsidP="00805B0A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lang w:val="en-US"/>
        </w:rPr>
      </w:pPr>
      <w:r>
        <w:rPr>
          <w:lang w:val="en-US"/>
        </w:rPr>
        <w:t>Reference</w:t>
      </w:r>
    </w:p>
    <w:p w14:paraId="27E4CBE3" w14:textId="0F71D71C" w:rsidR="00F25FDF" w:rsidRDefault="00390416" w:rsidP="006B27A4">
      <w:pPr>
        <w:pStyle w:val="ListParagraph"/>
        <w:numPr>
          <w:ilvl w:val="0"/>
          <w:numId w:val="23"/>
        </w:numPr>
      </w:pPr>
      <w:r w:rsidRPr="00390416">
        <w:t>R4-1915858</w:t>
      </w:r>
      <w:r>
        <w:t xml:space="preserve">, </w:t>
      </w:r>
      <w:r w:rsidR="00797245">
        <w:t>“</w:t>
      </w:r>
      <w:r w:rsidR="00797245" w:rsidRPr="00797245">
        <w:t>Way forward on PMI reporting requirements for Tx ports larger than 8 and up to 32</w:t>
      </w:r>
      <w:r w:rsidR="00A94790">
        <w:t xml:space="preserve">”,  </w:t>
      </w:r>
      <w:bookmarkStart w:id="0" w:name="_GoBack"/>
      <w:bookmarkEnd w:id="0"/>
      <w:r w:rsidR="00797245">
        <w:t>Ericsson, Samsung</w:t>
      </w:r>
    </w:p>
    <w:p w14:paraId="2698760D" w14:textId="2D7F307B" w:rsidR="00390416" w:rsidRDefault="00390416" w:rsidP="006B27A4">
      <w:pPr>
        <w:pStyle w:val="ListParagraph"/>
        <w:numPr>
          <w:ilvl w:val="0"/>
          <w:numId w:val="23"/>
        </w:numPr>
      </w:pPr>
      <w:r w:rsidRPr="00390416">
        <w:t>R4-1915859</w:t>
      </w:r>
      <w:r>
        <w:t>, “</w:t>
      </w:r>
      <w:r w:rsidRPr="00390416">
        <w:t>Simulation assumptions for NR PMI reporting requirements for more than 8 Tx ports</w:t>
      </w:r>
      <w:r>
        <w:t>”, Ericsson</w:t>
      </w:r>
    </w:p>
    <w:p w14:paraId="0F6E9477" w14:textId="77777777" w:rsidR="00F25FDF" w:rsidRPr="00F25FDF" w:rsidRDefault="00F25FDF" w:rsidP="006B27A4">
      <w:pPr>
        <w:rPr>
          <w:lang w:eastAsia="en-GB"/>
        </w:rPr>
      </w:pPr>
    </w:p>
    <w:p w14:paraId="20425A45" w14:textId="77777777" w:rsidR="00F25FDF" w:rsidRPr="00F25FDF" w:rsidRDefault="00F25FDF" w:rsidP="006B27A4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10AFC"/>
    <w:multiLevelType w:val="multilevel"/>
    <w:tmpl w:val="133C414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0813D17"/>
    <w:multiLevelType w:val="hybridMultilevel"/>
    <w:tmpl w:val="D9D201F4"/>
    <w:lvl w:ilvl="0" w:tplc="59AED0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8225CF6">
      <w:start w:val="13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6CF12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7A84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62EB8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1A77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808C1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3289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FAC0E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5"/>
  </w:num>
  <w:num w:numId="24">
    <w:abstractNumId w:val="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19F"/>
    <w:rsid w:val="000301BD"/>
    <w:rsid w:val="00037226"/>
    <w:rsid w:val="000773B1"/>
    <w:rsid w:val="000A5AEE"/>
    <w:rsid w:val="000D6425"/>
    <w:rsid w:val="00125245"/>
    <w:rsid w:val="0014572B"/>
    <w:rsid w:val="001B1DF1"/>
    <w:rsid w:val="001B69F4"/>
    <w:rsid w:val="00207FCC"/>
    <w:rsid w:val="00265ECE"/>
    <w:rsid w:val="002F79EB"/>
    <w:rsid w:val="00314BC5"/>
    <w:rsid w:val="00390416"/>
    <w:rsid w:val="00390B7D"/>
    <w:rsid w:val="004256B2"/>
    <w:rsid w:val="004516C3"/>
    <w:rsid w:val="00480425"/>
    <w:rsid w:val="00487801"/>
    <w:rsid w:val="0056282D"/>
    <w:rsid w:val="005650F4"/>
    <w:rsid w:val="005C774C"/>
    <w:rsid w:val="006528F4"/>
    <w:rsid w:val="006534F9"/>
    <w:rsid w:val="006B27A4"/>
    <w:rsid w:val="006B319F"/>
    <w:rsid w:val="006F55C0"/>
    <w:rsid w:val="007267F1"/>
    <w:rsid w:val="00743717"/>
    <w:rsid w:val="0077561E"/>
    <w:rsid w:val="00797245"/>
    <w:rsid w:val="007C1293"/>
    <w:rsid w:val="007E108E"/>
    <w:rsid w:val="007E6871"/>
    <w:rsid w:val="00805B0A"/>
    <w:rsid w:val="00863F81"/>
    <w:rsid w:val="008816F3"/>
    <w:rsid w:val="009C6280"/>
    <w:rsid w:val="00A01F3F"/>
    <w:rsid w:val="00A81355"/>
    <w:rsid w:val="00A94790"/>
    <w:rsid w:val="00AB1D0C"/>
    <w:rsid w:val="00AE293B"/>
    <w:rsid w:val="00B01F61"/>
    <w:rsid w:val="00B13CAE"/>
    <w:rsid w:val="00B30C46"/>
    <w:rsid w:val="00B922B9"/>
    <w:rsid w:val="00BF35C4"/>
    <w:rsid w:val="00C51C71"/>
    <w:rsid w:val="00C546F9"/>
    <w:rsid w:val="00C5515C"/>
    <w:rsid w:val="00C629E4"/>
    <w:rsid w:val="00CA62D1"/>
    <w:rsid w:val="00D72986"/>
    <w:rsid w:val="00DB24FD"/>
    <w:rsid w:val="00DC0E02"/>
    <w:rsid w:val="00DD54BA"/>
    <w:rsid w:val="00E01D9C"/>
    <w:rsid w:val="00E738B1"/>
    <w:rsid w:val="00EA2420"/>
    <w:rsid w:val="00EC2CA8"/>
    <w:rsid w:val="00F25FDF"/>
    <w:rsid w:val="00F3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84632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27A4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table" w:styleId="TableGrid">
    <w:name w:val="Table Grid"/>
    <w:basedOn w:val="TableNormal"/>
    <w:uiPriority w:val="39"/>
    <w:rsid w:val="00797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1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731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3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63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5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4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0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994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37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609</Words>
  <Characters>2935</Characters>
  <Application>Microsoft Office Word</Application>
  <DocSecurity>0</DocSecurity>
  <Lines>101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Intel_RAN4#94e</cp:lastModifiedBy>
  <cp:revision>12</cp:revision>
  <dcterms:created xsi:type="dcterms:W3CDTF">2020-02-11T14:12:00Z</dcterms:created>
  <dcterms:modified xsi:type="dcterms:W3CDTF">2020-02-14T19:37:00Z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2020-02-14 19:37:45Z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